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27039813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48207" cy="638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0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0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18 декабря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202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3 г.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                                  № </w:t>
      </w:r>
      <w:r>
        <w:rPr>
          <w:rFonts w:ascii="Liberation Sans" w:hAnsi="Liberation Sans" w:eastAsia="Liberation Serif" w:cs="Liberation Sans"/>
          <w:color w:val="0000ff"/>
          <w:sz w:val="28"/>
          <w:szCs w:val="28"/>
        </w:rPr>
        <w:t xml:space="preserve">520-т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1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0"/>
        <w:ind w:firstLine="709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/>
          <w:bCs/>
          <w:sz w:val="27"/>
          <w:szCs w:val="27"/>
        </w:rPr>
      </w:pPr>
      <w:r>
        <w:rPr>
          <w:rFonts w:ascii="Liberation Sans" w:hAnsi="Liberation Sans" w:eastAsia="Liberation Serif" w:cs="Liberation Sans"/>
          <w:b/>
          <w:bCs/>
          <w:sz w:val="27"/>
          <w:szCs w:val="27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eastAsia="Liberation Serif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тарифов на водоотведение для расчетов с потребителями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на 2024 - 2032 годы</w:t>
      </w:r>
      <w:r>
        <w:rPr>
          <w:rFonts w:ascii="Liberation Sans" w:hAnsi="Liberation Sans" w:cs="Liberation Sans"/>
          <w:b/>
          <w:bCs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В соответствии с Федеральным законом от 07 декабря 2011 года                                  № 416-ФЗ «О водоснабжении и водоотведении»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постановлением Правительства Российской Федерации от 13 мая 2013 года № 406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br/>
        <w:t xml:space="preserve">«О государственном регулировании тарифов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сфере водоснабжения и водоотведения», </w:t>
      </w:r>
      <w:hyperlink r:id="rId11" w:tooltip="consultantplus://offline/ref=21FAF34727E4E93BD845608C84F88EE5A2D220B235018A31618DB5B4205409AF2C61E" w:history="1">
        <w:r>
          <w:rPr>
            <w:rFonts w:ascii="Liberation Sans" w:hAnsi="Liberation Sans" w:eastAsia="Liberation Serif" w:cs="Liberation Sans"/>
            <w:bCs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Ямало-Ненецкого автономного округа от 01 декабря 2014 года № 107-ЗАО «Об установлении отдельных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организациям, региональным операторам по обращению с твердыми комму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компенсацию вы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падающих доходов организациям коммунального комплекса»,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постановлением Правительства Ямало-Ненецкого автономного округа от 25 декабря 2013 года № 1081-П «О департаменте тарифной политики, энергетики и жилищно-коммунального комплекса Ямало-Ненецкого автоном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ного округа», </w:t>
      </w:r>
      <w:r>
        <w:rPr>
          <w:rFonts w:ascii="Liberation Sans" w:hAnsi="Liberation Sans" w:eastAsia="Liberation Serif" w:cs="Liberation Sans"/>
          <w:b/>
          <w:color w:val="000000" w:themeColor="text1"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b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firstLine="708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1. Установить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hyperlink r:id="rId12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</w:t>
      </w:r>
      <w:r>
        <w:rPr>
          <w:rFonts w:ascii="Liberation Sans" w:hAnsi="Liberation Sans" w:eastAsia="Liberation Serif" w:cs="Liberation Sans"/>
          <w:b w:val="0"/>
          <w:bCs w:val="0"/>
          <w:sz w:val="28"/>
          <w:szCs w:val="28"/>
        </w:rPr>
        <w:t xml:space="preserve">водоотведение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для расчетов с потребителями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муниципального образования город Новый Уренгой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на 2024 - 2032 годы согласно приложению № 1.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2. </w:t>
      </w:r>
      <w:r>
        <w:rPr>
          <w:rFonts w:ascii="Liberation Sans" w:hAnsi="Liberation Sans" w:cs="Liberation Sans"/>
          <w:sz w:val="28"/>
          <w:szCs w:val="28"/>
        </w:rPr>
        <w:t xml:space="preserve">Установить акционерному обществу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8"/>
          <w:szCs w:val="28"/>
        </w:rPr>
        <w:t xml:space="preserve">«Уренгойгорводоканал»</w:t>
      </w:r>
      <w:r>
        <w:rPr>
          <w:rFonts w:ascii="Liberation Sans" w:hAnsi="Liberation Sans" w:cs="Liberation Sans"/>
          <w:sz w:val="28"/>
          <w:szCs w:val="28"/>
        </w:rPr>
        <w:t xml:space="preserve"> долгосрочные параметры регулирования тарифов, определяемые </w:t>
        <w:br/>
        <w:t xml:space="preserve">на долгосрочный период регулирования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при установлении тарифов </w:t>
        <w:br/>
        <w:t xml:space="preserve">с использованием метода индексации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cs="Liberation Sans"/>
          <w:sz w:val="28"/>
          <w:szCs w:val="28"/>
        </w:rPr>
        <w:t xml:space="preserve">на 2024 - 2028 годы согласно приложению № 2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.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3. </w:t>
      </w:r>
      <w:hyperlink r:id="rId13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Тарифы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, установленные в пункте 1 настоящего приказа, действуют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с 01 января 2024 года по 31 декабря 2032 года.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4. Долгосрочные </w:t>
      </w:r>
      <w:hyperlink r:id="rId14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8"/>
            <w:szCs w:val="28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регулирования тарифов, установленные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в пункте 2 настоящего приказа, действуют с 01 января 2024 года по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31 декабря 2032 года.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rPr>
          <w:rFonts w:ascii="Liberation Sans" w:hAnsi="Liberation Sans" w:cs="Liberation Sans"/>
          <w:bCs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  <w:sectPr>
          <w:footnotePr/>
          <w:endnotePr/>
          <w:type w:val="nextPage"/>
          <w:pgSz w:w="11906" w:h="16838" w:orient="portrait"/>
          <w:pgMar w:top="1134" w:right="567" w:bottom="567" w:left="1701" w:header="709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                  </w:t>
      </w:r>
      <w:bookmarkEnd w:id="0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Д.Н. Афанасьев</w:t>
      </w:r>
      <w:r>
        <w:rPr>
          <w:rFonts w:ascii="Liberation Sans" w:hAnsi="Liberation Sans" w:cs="Liberation Sans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Приложение № 1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к приказу департамента тарифной политики, энергетики и жилищно-комм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унального комплекса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Ямало-Ненецкого автономного округа </w:t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ind w:left="10206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520-т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/>
    </w:p>
    <w:p>
      <w:pPr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  <w:t xml:space="preserve">Т</w:t>
      </w:r>
      <w:hyperlink r:id="rId15" w:tooltip="consultantplus://offline/ref=AB0A23BB009D875F70E278ABA137D1EAE0914661EA7CA7DC4DA00334547CA36DC21A434CDEABBAAE3F967D0D0F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арифы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водоотведение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, установленные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Times New Roman" w:cs="Liberation Sans"/>
          <w:color w:val="000000"/>
          <w:sz w:val="24"/>
          <w:szCs w:val="24"/>
        </w:rPr>
        <w:t xml:space="preserve">для расчетов с потребителями муниципального образования город Новый Уренгой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2024 - 2032 годы</w:t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3"/>
        <w:gridCol w:w="3360"/>
        <w:gridCol w:w="536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оплачивающие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br/>
              <w:t xml:space="preserve">услуги систем водоотведения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Тариф на водоотведение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44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Иные потребители,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01.01.2024 по 30.06.2024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01.07.2024 по 31.12.2024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01.01.2025 по 30.06.2025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125,64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01.07.2025 по 31.12.2025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130,66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01.01.2026 по 30.06.2026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130,66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 по 31.12.2026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135,89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5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01.01.2027 по 30.06.2027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135,89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01.07.2027 по 31.12.2027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141,33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01.01.2028 по 30.06.2028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141,33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01.07.2028 по 31.12.2028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none"/>
              </w:rPr>
              <w:t xml:space="preserve">146,98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146,98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152,86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152,86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158,97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158,97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165,33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5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165,33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171,94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62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2.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Потребители, имеющие право на льготные тарифы </w:t>
            </w:r>
            <w:hyperlink r:id="rId16" w:tooltip="consultantplus://offline/ref=30AE12744AACC646BD4A127E9A00FA26F3F5D77ABA9B9249DE8065AAD0E7560D85AC42817DBE367E208644GEEA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руб./м3 (без НДС)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41,52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44,83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3.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Население </w:t>
            </w:r>
            <w:hyperlink r:id="rId17" w:tooltip="consultantplus://offline/ref=E2D39A4F09B56413B3EC0001D0709032262D2B4CB0535EAD3A2383E493BF8F76C45AD369E8E1994C547488p5ED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&lt;**&gt;</w:t>
              </w:r>
            </w:hyperlink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руб./м3 (включая НДС) </w:t>
            </w:r>
            <w:hyperlink r:id="rId18" w:tooltip="consultantplus://offline/ref=E2D39A4F09B56413B3EC0001D0709032262D2B4CB0535EAD3A2383E493BF8F76C45AD369E8E1994C547488p5ECF" w:history="1">
              <w:r>
                <w:rPr>
                  <w:rFonts w:ascii="Liberation Sans" w:hAnsi="Liberation Sans" w:eastAsia="Liberation Serif" w:cs="Liberation Sans"/>
                  <w:color w:val="000000" w:themeColor="text1"/>
                  <w:sz w:val="24"/>
                </w:rPr>
                <w:t xml:space="preserve">&lt;***&gt; </w:t>
              </w:r>
            </w:hyperlink>
            <w:r>
              <w:rPr>
                <w:rFonts w:ascii="Liberation Sans" w:hAnsi="Liberation Sans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01.01.2024 по 30.06.2024 – 49,82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01.07.2024 по 31.12.2024 – 53,80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01.01.2025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 по 30.06.2025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01.07.2025 по 31.12.2025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01.01.2026 по 30.06.2026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01.07.2026 по 31.12.2026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01.01.2027 по 30.06.2027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01.07.2027 по 31.12.2027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01.01.2028 по 30.06.2028 –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с 01.07.2028 по 31.12.2028 –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01.01.2029 по 30.06.2029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01.07.2029 по 31.12.2029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01.01.2030 по 30.06.2030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01.07.2030 по 31.12.2030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01.01.2031 по 30.06.2031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01.07.2031 по 31.12.2031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>
          <w:trHeight w:val="23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95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65" w:type="dxa"/>
            <w:vAlign w:val="center"/>
            <w:vMerge w:val="restart"/>
            <w:textDirection w:val="lrTb"/>
            <w:noWrap w:val="false"/>
          </w:tcPr>
          <w:p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01.01.2032 по 30.06.2032 – </w:t>
            </w:r>
            <w:r>
              <w:rPr>
                <w:rFonts w:ascii="Liberation Sans" w:hAnsi="Liberation Sans" w:cs="Liberation Sans"/>
                <w:color w:val="000000" w:themeColor="text1"/>
                <w:highlight w:val="white"/>
              </w:rPr>
            </w:r>
            <w:r/>
          </w:p>
          <w:p>
            <w:pPr>
              <w:rPr>
                <w:rFonts w:ascii="Liberation Sans" w:hAnsi="Liberation Sans" w:eastAsia="Liberation Serif" w:cs="Liberation Sans"/>
                <w:color w:val="000000" w:themeColor="text1"/>
                <w:szCs w:val="24"/>
                <w:highlight w:val="white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  <w:t xml:space="preserve">с 01.07.2032 по 31.12.2032 – 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highlight w:val="white"/>
              </w:rPr>
            </w:r>
            <w:r/>
          </w:p>
        </w:tc>
      </w:tr>
    </w:tbl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&lt;*&gt;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Потребители, имеющие право на льготные тарифы в сфере водоотведения, указанные в пунктах 2 - 4</w:t>
      </w:r>
      <w:hyperlink r:id="rId19" w:tooltip="consultantplus://offline/ref=BC4FDCB53AB2EC8B14B6B3AE8120CF99E618AD28C81A94C69A1C057EC095CEE9BB73B2CF9B88F0D7DA4765HEQ0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выпадающих доходов ресурсоснабжающим организациям, региональным операторам по обращению с твердыми коммунальными отходами и прекращении осуществления органами местного самоуправления муниципальных образований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 Ямало-Ненецком автономном округе отдельных 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осударственных полномочий Ямало-Ненецкого автономного округа по предоставлению субсидий на компенсацию выпадающих доходов организациям коммунального комплекса».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&lt;**&gt; Потребители, имеющие право на льготные тарифы в сфере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водоотведения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, указанные в </w:t>
      </w:r>
      <w:hyperlink r:id="rId20" w:tooltip="consultantplus://offline/ref=BC4FDCB53AB2EC8B14B6B3AE8120CF99E618AD28C81A94C69A1C057EC095CEE9BB73B2CF9B88F0D7DA4765HEQF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пункте 1 части 1 статьи 3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Закона Ямало-Ненецкого автономного округа от 01 декабря 2014 года № 107-ЗАО «Об установлении отдель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ных категорий потребителей коммунальных ресурсов и коммунальной услуги по обращению с твердыми коммунальными отходами, имеющих право на льготы, компенсации выпадающих доходов ресурсоснабжающим организациям , региональным операторам по обращению с твердыми 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коммунальными отходами и прекращении осуществления органами местного самоуправления муниципальных образований в Ямало-Ненецком автономном округе отдельных государственных полномочий Ямало-Ненецкого автономного округа по предоставлению субсидий на компенсац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ию выпадающих доходов организациям коммунального комплекса».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&lt;***&gt; Выделяется в целях реализации </w:t>
      </w:r>
      <w:hyperlink r:id="rId21" w:tooltip="consultantplus://offline/ref=BC4FDCB53AB2EC8B14B6ADA3974C9894E114F221CB1B9993C6435E23979CC4BEFC3CEB8DDF85F5D1HDQDF" w:history="1">
        <w:r>
          <w:rPr>
            <w:rFonts w:ascii="Liberation Sans" w:hAnsi="Liberation Sans" w:eastAsia="Liberation Serif" w:cs="Liberation Sans"/>
            <w:color w:val="000000" w:themeColor="text1"/>
          </w:rPr>
          <w:t xml:space="preserve">пункта 6 статьи 168</w:t>
        </w:r>
      </w:hyperlink>
      <w:r>
        <w:rPr>
          <w:rFonts w:ascii="Liberation Sans" w:hAnsi="Liberation Sans" w:eastAsia="Liberation Serif" w:cs="Liberation Sans"/>
          <w:color w:val="000000" w:themeColor="text1"/>
        </w:rPr>
        <w:t xml:space="preserve"> Налоговог</w:t>
      </w:r>
      <w:r>
        <w:rPr>
          <w:rFonts w:ascii="Liberation Sans" w:hAnsi="Liberation Sans" w:eastAsia="Liberation Serif" w:cs="Liberation Sans"/>
          <w:color w:val="000000" w:themeColor="text1"/>
        </w:rPr>
        <w:t xml:space="preserve">о кодекса Российской Федерации (часть вторая).     </w:t>
      </w:r>
      <w:r>
        <w:rPr>
          <w:rFonts w:ascii="Liberation Sans" w:hAnsi="Liberation Sans" w:cs="Liberation Sans"/>
        </w:rPr>
      </w:r>
      <w:r/>
    </w:p>
    <w:p>
      <w:pPr>
        <w:ind w:firstLine="540"/>
        <w:jc w:val="both"/>
        <w:rPr>
          <w:rFonts w:ascii="Liberation Sans" w:hAnsi="Liberation Sans" w:cs="Liberation Sans"/>
          <w:color w:val="000000"/>
        </w:rPr>
      </w:pPr>
      <w:r>
        <w:rPr>
          <w:rFonts w:ascii="Liberation Sans" w:hAnsi="Liberation Sans" w:eastAsia="Liberation Serif" w:cs="Liberation Sans"/>
          <w:color w:val="000000" w:themeColor="text1"/>
        </w:rPr>
        <w:t xml:space="preserve">Льготные тарифы на холодную воду также применяются в качестве компонентов для расчета тарифов на горячую воду в закрытых системах горячего водоснабжения.</w:t>
      </w:r>
      <w:r>
        <w:rPr>
          <w:rFonts w:ascii="Liberation Sans" w:hAnsi="Liberation Sans" w:cs="Liberation Sans"/>
          <w:color w:val="000000" w:themeColor="text1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  <w:highlight w:val="none"/>
        </w:rPr>
      </w:r>
      <w:r/>
    </w:p>
    <w:p>
      <w:pPr>
        <w:ind w:left="10065"/>
        <w:rPr>
          <w:rFonts w:ascii="Liberation Sans" w:hAnsi="Liberation Sans" w:eastAsia="Liberation Serif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Приложение № 2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к приказу департамента тарифной политики, энергетики и жилищно-коммунального комплекса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  <w:t xml:space="preserve">Ямало-Ненецкого автономного округа </w:t>
      </w:r>
      <w:r>
        <w:rPr>
          <w:rFonts w:ascii="Liberation Sans" w:hAnsi="Liberation Sans" w:cs="Liberation Sans"/>
        </w:rPr>
      </w:r>
      <w:r/>
    </w:p>
    <w:p>
      <w:pPr>
        <w:ind w:left="10065"/>
        <w:rPr>
          <w:rFonts w:ascii="Liberation Sans" w:hAnsi="Liberation Sans" w:cs="Liberation Sans"/>
          <w:color w:val="000000" w:themeColor="text1"/>
          <w:sz w:val="24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4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520-т</w:t>
      </w:r>
      <w:r/>
      <w:r>
        <w:rPr>
          <w:rFonts w:ascii="Liberation Sans" w:hAnsi="Liberation Sans" w:eastAsia="Liberation Serif" w:cs="Liberation Sans"/>
          <w:color w:val="000000" w:themeColor="text1"/>
          <w:sz w:val="24"/>
          <w:szCs w:val="26"/>
        </w:rPr>
      </w:r>
      <w:r>
        <w:rPr>
          <w:rFonts w:ascii="Liberation Sans" w:hAnsi="Liberation Sans" w:cs="Liberation Sans"/>
        </w:rPr>
      </w:r>
      <w:r/>
    </w:p>
    <w:p>
      <w:pPr>
        <w:jc w:val="left"/>
        <w:rPr>
          <w:rFonts w:ascii="Liberation Sans" w:hAnsi="Liberation Sans" w:cs="Liberation Sans"/>
          <w:color w:val="000000" w:themeColor="text1"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center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</w:rPr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Долгосрочные </w:t>
      </w:r>
      <w:hyperlink r:id="rId22" w:tooltip="consultantplus://offline/ref=AB0A23BB009D875F70E278ABA137D1EAE0914661EA7CA7DC4DA00334547CA36DC21A434CDEABBAAE3F967C0F0E7E283638FF83CB8743443A5A96156Dj8w6K" w:history="1">
        <w:r>
          <w:rPr>
            <w:rFonts w:ascii="Liberation Sans" w:hAnsi="Liberation Sans" w:eastAsia="Liberation Serif" w:cs="Liberation Sans"/>
            <w:color w:val="000000" w:themeColor="text1"/>
            <w:sz w:val="24"/>
            <w:szCs w:val="24"/>
          </w:rPr>
          <w:t xml:space="preserve">параметры</w:t>
        </w:r>
      </w:hyperlink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регулирования тарифов,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определяемые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на долгосрочный период регули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рования</w:t>
      </w:r>
      <w:r>
        <w:rPr>
          <w:rFonts w:ascii="Liberation Sans" w:hAnsi="Liberation Sans" w:eastAsia="Liberation Serif" w:cs="Liberation Sans"/>
          <w:b w:val="0"/>
          <w:bCs w:val="0"/>
          <w:color w:val="000000" w:themeColor="text1"/>
          <w:sz w:val="24"/>
          <w:szCs w:val="24"/>
        </w:rPr>
        <w:t xml:space="preserve"> при установлении</w:t>
      </w:r>
      <w:r>
        <w:rPr>
          <w:rFonts w:ascii="Liberation Sans" w:hAnsi="Liberation Sans" w:eastAsia="Liberation Serif" w:cs="Liberation Sans"/>
          <w:b w:val="0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тарифов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с использованием метода индексации 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«Уренгойгорводоканал»</w:t>
      </w:r>
      <w:r>
        <w:rPr>
          <w:rFonts w:ascii="Liberation Sans" w:hAnsi="Liberation Sans" w:eastAsia="Liberation Serif" w:cs="Liberation Sans"/>
          <w:color w:val="000000" w:themeColor="text1"/>
          <w:sz w:val="24"/>
          <w:szCs w:val="24"/>
        </w:rPr>
        <w:t xml:space="preserve"> на 2024 - 2032 годы</w:t>
      </w:r>
      <w:r>
        <w:rPr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</w:rPr>
      </w:pPr>
      <w:r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jc w:val="right"/>
        <w:rPr>
          <w:rFonts w:ascii="Liberation Sans" w:hAnsi="Liberation Sans" w:cs="Liberation Sans"/>
          <w:color w:val="000000" w:themeColor="text1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  <w:color w:val="000000" w:themeColor="text1"/>
          <w:sz w:val="24"/>
          <w:szCs w:val="24"/>
        </w:rPr>
        <w:t xml:space="preserve">Таблица 1</w:t>
      </w:r>
      <w:r>
        <w:rPr>
          <w:rFonts w:ascii="Liberation Sans" w:hAnsi="Liberation Sans" w:cs="Liberation Sans"/>
        </w:rPr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40" w:type="dxa"/>
          <w:top w:w="75" w:type="dxa"/>
          <w:right w:w="40" w:type="dxa"/>
          <w:bottom w:w="75" w:type="dxa"/>
        </w:tblCellMar>
        <w:tblLook w:val="04A0" w:firstRow="1" w:lastRow="0" w:firstColumn="1" w:lastColumn="0" w:noHBand="0" w:noVBand="1"/>
      </w:tblPr>
      <w:tblGrid>
        <w:gridCol w:w="606"/>
        <w:gridCol w:w="2435"/>
        <w:gridCol w:w="1109"/>
        <w:gridCol w:w="2117"/>
        <w:gridCol w:w="2094"/>
        <w:gridCol w:w="1884"/>
        <w:gridCol w:w="2492"/>
        <w:gridCol w:w="2480"/>
      </w:tblGrid>
      <w:tr>
        <w:trPr>
          <w:cantSplit/>
          <w:trHeight w:val="225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Наименование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регулируемой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организации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Год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Базовый 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тыс.руб.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Индекс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эффективности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операционных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расходов,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8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Нормативный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прибыли, 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2"/>
            <w:tcW w:w="497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Показатели энергосбережения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энергетической эффективности 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56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09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88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уровень потерь воды,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%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удельный расход электрической энергии, 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кВт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*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ч/м3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trHeight w:val="144"/>
        </w:trPr>
        <w:tc>
          <w:tcPr>
            <w:tcW w:w="60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cantSplit/>
          <w:trHeight w:val="687"/>
        </w:trPr>
        <w:tc>
          <w:tcPr>
            <w:tcW w:w="6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1.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43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>
              <w:rPr>
                <w:rFonts w:ascii="Liberation Sans" w:hAnsi="Liberation Sans" w:eastAsia="Times New Roman" w:cs="Liberation Sans"/>
                <w:b w:val="0"/>
                <w:bCs w:val="0"/>
                <w:color w:val="000000"/>
                <w:sz w:val="24"/>
                <w:szCs w:val="24"/>
              </w:rPr>
              <w:t xml:space="preserve">Акционерное общество «Уренгойгор-водоканал»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rPr>
                <w:rFonts w:ascii="Liberation Sans" w:hAnsi="Liberation Sans" w:cs="Liberation Sans"/>
                <w:color w:val="000000" w:themeColor="text1"/>
              </w:rPr>
            </w:pPr>
            <w:r>
              <w:rPr>
                <w:rFonts w:ascii="Liberation Sans" w:hAnsi="Liberation Sans" w:cs="Liberation Sans"/>
                <w:color w:val="000000" w:themeColor="text1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674 682,29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cantSplit/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  <w:tc>
          <w:tcPr>
            <w:tcW w:w="11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0,17</w:t>
            </w:r>
            <w:r/>
          </w:p>
        </w:tc>
        <w:tc>
          <w:tcPr>
            <w:tcW w:w="24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0,17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0,17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2028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0,17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2029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0,18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1,50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2030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0,18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1,49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0,18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1,48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trHeight w:val="549"/>
        </w:trPr>
        <w:tc>
          <w:tcPr>
            <w:tcW w:w="60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3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1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  <w:t xml:space="preserve">2032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</w:rPr>
            </w:r>
            <w:r/>
          </w:p>
        </w:tc>
        <w:tc>
          <w:tcPr>
            <w:tcW w:w="21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>
              <w:rPr>
                <w:rFonts w:ascii="Liberation Sans" w:hAnsi="Liberation Sans" w:cs="Liberation Sans"/>
                <w:color w:val="000000"/>
                <w:sz w:val="24"/>
                <w:szCs w:val="24"/>
              </w:rPr>
            </w:r>
            <w:r/>
          </w:p>
        </w:tc>
        <w:tc>
          <w:tcPr>
            <w:tcW w:w="209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color w:val="000000" w:themeColor="text1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1</w:t>
            </w: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W w:w="18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0,18</w:t>
            </w:r>
            <w:r/>
          </w:p>
        </w:tc>
        <w:tc>
          <w:tcPr>
            <w:tcW w:w="24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Liberation Sans" w:hAnsi="Liberation Sans" w:eastAsia="Liberation Serif" w:cs="Liberation Sans"/>
                <w:color w:val="000000" w:themeColor="text1"/>
                <w:sz w:val="24"/>
                <w:szCs w:val="24"/>
              </w:rPr>
              <w:t xml:space="preserve">-</w:t>
            </w:r>
            <w:r/>
          </w:p>
        </w:tc>
        <w:tc>
          <w:tcPr>
            <w:tcW w:w="248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1,47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1276" w:right="1134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basedOn w:val="669"/>
    <w:link w:val="660"/>
    <w:uiPriority w:val="9"/>
    <w:rPr>
      <w:rFonts w:ascii="Arial" w:hAnsi="Arial" w:eastAsia="Arial" w:cs="Arial"/>
      <w:sz w:val="40"/>
      <w:szCs w:val="40"/>
    </w:rPr>
  </w:style>
  <w:style w:type="character" w:styleId="645">
    <w:name w:val="Heading 2 Char"/>
    <w:basedOn w:val="669"/>
    <w:link w:val="661"/>
    <w:uiPriority w:val="9"/>
    <w:rPr>
      <w:rFonts w:ascii="Arial" w:hAnsi="Arial" w:eastAsia="Arial" w:cs="Arial"/>
      <w:sz w:val="34"/>
    </w:rPr>
  </w:style>
  <w:style w:type="character" w:styleId="646">
    <w:name w:val="Heading 3 Char"/>
    <w:basedOn w:val="669"/>
    <w:link w:val="662"/>
    <w:uiPriority w:val="9"/>
    <w:rPr>
      <w:rFonts w:ascii="Arial" w:hAnsi="Arial" w:eastAsia="Arial" w:cs="Arial"/>
      <w:sz w:val="30"/>
      <w:szCs w:val="30"/>
    </w:rPr>
  </w:style>
  <w:style w:type="character" w:styleId="647">
    <w:name w:val="Heading 4 Char"/>
    <w:basedOn w:val="669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48">
    <w:name w:val="Heading 5 Char"/>
    <w:basedOn w:val="669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49">
    <w:name w:val="Heading 6 Char"/>
    <w:basedOn w:val="669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50">
    <w:name w:val="Heading 7 Char"/>
    <w:basedOn w:val="66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8 Char"/>
    <w:basedOn w:val="66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52">
    <w:name w:val="Heading 9 Char"/>
    <w:basedOn w:val="66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character" w:styleId="653">
    <w:name w:val="Title Char"/>
    <w:basedOn w:val="669"/>
    <w:link w:val="683"/>
    <w:uiPriority w:val="10"/>
    <w:rPr>
      <w:sz w:val="48"/>
      <w:szCs w:val="48"/>
    </w:rPr>
  </w:style>
  <w:style w:type="character" w:styleId="654">
    <w:name w:val="Subtitle Char"/>
    <w:basedOn w:val="669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paragraph" w:styleId="660">
    <w:name w:val="Heading 1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61">
    <w:name w:val="Heading 2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62">
    <w:name w:val="Heading 3"/>
    <w:link w:val="67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63">
    <w:name w:val="Heading 4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64">
    <w:name w:val="Heading 5"/>
    <w:link w:val="67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65">
    <w:name w:val="Heading 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66">
    <w:name w:val="Heading 7"/>
    <w:link w:val="67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67">
    <w:name w:val="Heading 8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68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Заголовок 1 Знак"/>
    <w:link w:val="660"/>
    <w:uiPriority w:val="9"/>
    <w:rPr>
      <w:rFonts w:ascii="Arial" w:hAnsi="Arial" w:eastAsia="Arial" w:cs="Arial"/>
      <w:sz w:val="40"/>
      <w:szCs w:val="40"/>
    </w:rPr>
  </w:style>
  <w:style w:type="character" w:styleId="673" w:customStyle="1">
    <w:name w:val="Заголовок 2 Знак"/>
    <w:link w:val="661"/>
    <w:uiPriority w:val="9"/>
    <w:rPr>
      <w:rFonts w:ascii="Arial" w:hAnsi="Arial" w:eastAsia="Arial" w:cs="Arial"/>
      <w:sz w:val="34"/>
    </w:rPr>
  </w:style>
  <w:style w:type="character" w:styleId="674" w:customStyle="1">
    <w:name w:val="Заголовок 3 Знак"/>
    <w:link w:val="662"/>
    <w:uiPriority w:val="9"/>
    <w:rPr>
      <w:rFonts w:ascii="Arial" w:hAnsi="Arial" w:eastAsia="Arial" w:cs="Arial"/>
      <w:sz w:val="30"/>
      <w:szCs w:val="30"/>
    </w:rPr>
  </w:style>
  <w:style w:type="character" w:styleId="675" w:customStyle="1">
    <w:name w:val="Заголовок 4 Знак"/>
    <w:link w:val="663"/>
    <w:uiPriority w:val="9"/>
    <w:rPr>
      <w:rFonts w:ascii="Arial" w:hAnsi="Arial" w:eastAsia="Arial" w:cs="Arial"/>
      <w:b/>
      <w:bCs/>
      <w:sz w:val="26"/>
      <w:szCs w:val="26"/>
    </w:rPr>
  </w:style>
  <w:style w:type="character" w:styleId="676" w:customStyle="1">
    <w:name w:val="Заголовок 5 Знак"/>
    <w:link w:val="664"/>
    <w:uiPriority w:val="9"/>
    <w:rPr>
      <w:rFonts w:ascii="Arial" w:hAnsi="Arial" w:eastAsia="Arial" w:cs="Arial"/>
      <w:b/>
      <w:bCs/>
      <w:sz w:val="24"/>
      <w:szCs w:val="24"/>
    </w:rPr>
  </w:style>
  <w:style w:type="character" w:styleId="677" w:customStyle="1">
    <w:name w:val="Заголовок 6 Знак"/>
    <w:link w:val="665"/>
    <w:uiPriority w:val="9"/>
    <w:rPr>
      <w:rFonts w:ascii="Arial" w:hAnsi="Arial" w:eastAsia="Arial" w:cs="Arial"/>
      <w:b/>
      <w:bCs/>
      <w:sz w:val="22"/>
      <w:szCs w:val="22"/>
    </w:rPr>
  </w:style>
  <w:style w:type="character" w:styleId="678" w:customStyle="1">
    <w:name w:val="Заголовок 7 Знак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9" w:customStyle="1">
    <w:name w:val="Заголовок 8 Знак"/>
    <w:link w:val="667"/>
    <w:uiPriority w:val="9"/>
    <w:rPr>
      <w:rFonts w:ascii="Arial" w:hAnsi="Arial" w:eastAsia="Arial" w:cs="Arial"/>
      <w:i/>
      <w:iCs/>
      <w:sz w:val="22"/>
      <w:szCs w:val="22"/>
    </w:rPr>
  </w:style>
  <w:style w:type="character" w:styleId="680" w:customStyle="1">
    <w:name w:val="Заголовок 9 Знак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84" w:customStyle="1">
    <w:name w:val="Заголовок Знак"/>
    <w:link w:val="683"/>
    <w:uiPriority w:val="10"/>
    <w:rPr>
      <w:sz w:val="48"/>
      <w:szCs w:val="48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86" w:customStyle="1">
    <w:name w:val="Подзаголовок Знак"/>
    <w:link w:val="685"/>
    <w:uiPriority w:val="11"/>
    <w:rPr>
      <w:sz w:val="24"/>
      <w:szCs w:val="24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</w:rPr>
  </w:style>
  <w:style w:type="paragraph" w:styleId="691">
    <w:name w:val="Header"/>
    <w:basedOn w:val="659"/>
    <w:link w:val="847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2" w:customStyle="1">
    <w:name w:val="Header Char"/>
    <w:uiPriority w:val="99"/>
  </w:style>
  <w:style w:type="paragraph" w:styleId="693">
    <w:name w:val="Footer"/>
    <w:basedOn w:val="659"/>
    <w:link w:val="848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694" w:customStyle="1">
    <w:name w:val="Footer Char"/>
    <w:uiPriority w:val="99"/>
  </w:style>
  <w:style w:type="paragraph" w:styleId="695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uiPriority w:val="99"/>
  </w:style>
  <w:style w:type="table" w:styleId="697">
    <w:name w:val="Table Grid"/>
    <w:basedOn w:val="670"/>
    <w:tblPr/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  <w:lang w:eastAsia="zh-CN"/>
    </w:rPr>
  </w:style>
  <w:style w:type="character" w:styleId="825" w:customStyle="1">
    <w:name w:val="Текст сноски Знак"/>
    <w:link w:val="824"/>
    <w:uiPriority w:val="99"/>
    <w:rPr>
      <w:sz w:val="18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rPr>
      <w:sz w:val="20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 w:customStyle="1">
    <w:name w:val="Знак Знак Знак Знак"/>
    <w:basedOn w:val="659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42" w:customStyle="1">
    <w:name w:val="ConsPlusNormal"/>
    <w:pPr>
      <w:ind w:firstLine="720"/>
    </w:pPr>
    <w:rPr>
      <w:rFonts w:ascii="Arial" w:hAnsi="Arial"/>
    </w:rPr>
  </w:style>
  <w:style w:type="paragraph" w:styleId="843" w:customStyle="1">
    <w:name w:val="ConsPlusCell"/>
    <w:pPr>
      <w:widowControl w:val="off"/>
    </w:pPr>
    <w:rPr>
      <w:rFonts w:ascii="Arial" w:hAnsi="Arial"/>
    </w:rPr>
  </w:style>
  <w:style w:type="paragraph" w:styleId="844">
    <w:name w:val="Body Text Indent 2"/>
    <w:basedOn w:val="659"/>
    <w:link w:val="846"/>
    <w:pPr>
      <w:ind w:firstLine="720"/>
      <w:jc w:val="both"/>
    </w:pPr>
    <w:rPr>
      <w:sz w:val="28"/>
      <w:lang w:val="en-US" w:eastAsia="en-US"/>
    </w:rPr>
  </w:style>
  <w:style w:type="paragraph" w:styleId="845" w:customStyle="1">
    <w:name w:val="ConsPlusNonformat"/>
    <w:rPr>
      <w:rFonts w:ascii="Courier New" w:hAnsi="Courier New"/>
    </w:rPr>
  </w:style>
  <w:style w:type="character" w:styleId="846" w:customStyle="1">
    <w:name w:val="Основной текст с отступом 2 Знак"/>
    <w:link w:val="844"/>
    <w:rPr>
      <w:sz w:val="28"/>
      <w:szCs w:val="24"/>
    </w:rPr>
  </w:style>
  <w:style w:type="character" w:styleId="847" w:customStyle="1">
    <w:name w:val="Верхний колонтитул Знак"/>
    <w:link w:val="691"/>
    <w:rPr>
      <w:sz w:val="24"/>
      <w:szCs w:val="24"/>
    </w:rPr>
  </w:style>
  <w:style w:type="character" w:styleId="848" w:customStyle="1">
    <w:name w:val="Нижний колонтитул Знак"/>
    <w:link w:val="693"/>
    <w:rPr>
      <w:sz w:val="24"/>
      <w:szCs w:val="24"/>
    </w:rPr>
  </w:style>
  <w:style w:type="paragraph" w:styleId="849" w:customStyle="1">
    <w:name w:val="ConsPlusTitle"/>
    <w:pPr>
      <w:widowControl w:val="off"/>
    </w:pPr>
    <w:rPr>
      <w:b/>
      <w:bCs/>
      <w:sz w:val="24"/>
      <w:szCs w:val="24"/>
    </w:rPr>
  </w:style>
  <w:style w:type="paragraph" w:styleId="850" w:customStyle="1">
    <w:name w:val="Обычный"/>
    <w:next w:val="829"/>
    <w:link w:val="82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1" w:customStyle="1">
    <w:name w:val="Основной текст с отступом 2"/>
    <w:basedOn w:val="850"/>
    <w:next w:val="837"/>
    <w:link w:val="839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21FAF34727E4E93BD845608C84F88EE5A2D220B235018A31618DB5B4205409AF2C61E" TargetMode="External"/><Relationship Id="rId12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3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4" Type="http://schemas.openxmlformats.org/officeDocument/2006/relationships/hyperlink" Target="consultantplus://offline/ref=AB0A23BB009D875F70E278ABA137D1EAE0914661EA7CA7DC4DA00334547CA36DC21A434CDEABBAAE3F967C0F0E7E283638FF83CB8743443A5A96156Dj8w6K" TargetMode="External"/><Relationship Id="rId15" Type="http://schemas.openxmlformats.org/officeDocument/2006/relationships/hyperlink" Target="consultantplus://offline/ref=AB0A23BB009D875F70E278ABA137D1EAE0914661EA7CA7DC4DA00334547CA36DC21A434CDEABBAAE3F967D0D0F7E283638FF83CB8743443A5A96156Dj8w6K" TargetMode="External"/><Relationship Id="rId16" Type="http://schemas.openxmlformats.org/officeDocument/2006/relationships/hyperlink" Target="consultantplus://offline/ref=30AE12744AACC646BD4A127E9A00FA26F3F5D77ABA9B9249DE8065AAD0E7560D85AC42817DBE367E208644GEEAF" TargetMode="External"/><Relationship Id="rId17" Type="http://schemas.openxmlformats.org/officeDocument/2006/relationships/hyperlink" Target="consultantplus://offline/ref=E2D39A4F09B56413B3EC0001D0709032262D2B4CB0535EAD3A2383E493BF8F76C45AD369E8E1994C547488p5EDF" TargetMode="External"/><Relationship Id="rId18" Type="http://schemas.openxmlformats.org/officeDocument/2006/relationships/hyperlink" Target="consultantplus://offline/ref=E2D39A4F09B56413B3EC0001D0709032262D2B4CB0535EAD3A2383E493BF8F76C45AD369E8E1994C547488p5ECF" TargetMode="External"/><Relationship Id="rId19" Type="http://schemas.openxmlformats.org/officeDocument/2006/relationships/hyperlink" Target="consultantplus://offline/ref=BC4FDCB53AB2EC8B14B6B3AE8120CF99E618AD28C81A94C69A1C057EC095CEE9BB73B2CF9B88F0D7DA4765HEQ0F" TargetMode="External"/><Relationship Id="rId20" Type="http://schemas.openxmlformats.org/officeDocument/2006/relationships/hyperlink" Target="consultantplus://offline/ref=BC4FDCB53AB2EC8B14B6B3AE8120CF99E618AD28C81A94C69A1C057EC095CEE9BB73B2CF9B88F0D7DA4765HEQFF" TargetMode="External"/><Relationship Id="rId21" Type="http://schemas.openxmlformats.org/officeDocument/2006/relationships/hyperlink" Target="consultantplus://offline/ref=BC4FDCB53AB2EC8B14B6ADA3974C9894E114F221CB1B9993C6435E23979CC4BEFC3CEB8DDF85F5D1HDQDF" TargetMode="External"/><Relationship Id="rId22" Type="http://schemas.openxmlformats.org/officeDocument/2006/relationships/hyperlink" Target="consultantplus://offline/ref=AB0A23BB009D875F70E278ABA137D1EAE0914661EA7CA7DC4DA00334547CA36DC21A434CDEABBAAE3F967C0F0E7E283638FF83CB8743443A5A96156Dj8w6K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26</cp:revision>
  <dcterms:created xsi:type="dcterms:W3CDTF">2022-10-31T11:46:00Z</dcterms:created>
  <dcterms:modified xsi:type="dcterms:W3CDTF">2023-12-16T10:19:20Z</dcterms:modified>
</cp:coreProperties>
</file>